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B25A" w14:textId="77777777" w:rsidR="00EA0BB2" w:rsidRDefault="00EA0BB2">
      <w:pPr>
        <w:pStyle w:val="BodyText"/>
        <w:rPr>
          <w:rFonts w:ascii="Times New Roman"/>
        </w:rPr>
      </w:pPr>
    </w:p>
    <w:p w14:paraId="79F8B25B" w14:textId="77777777" w:rsidR="00EA0BB2" w:rsidRDefault="00EA0BB2">
      <w:pPr>
        <w:pStyle w:val="BodyText"/>
        <w:spacing w:before="123"/>
        <w:rPr>
          <w:rFonts w:ascii="Times New Roman"/>
        </w:rPr>
      </w:pPr>
    </w:p>
    <w:p w14:paraId="79F8B25C" w14:textId="77777777" w:rsidR="00EA0BB2" w:rsidRDefault="00416746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9F8B273" wp14:editId="79F8B274">
            <wp:simplePos x="0" y="0"/>
            <wp:positionH relativeFrom="page">
              <wp:posOffset>825038</wp:posOffset>
            </wp:positionH>
            <wp:positionV relativeFrom="paragraph">
              <wp:posOffset>-433677</wp:posOffset>
            </wp:positionV>
            <wp:extent cx="990600" cy="866775"/>
            <wp:effectExtent l="0" t="0" r="0" b="0"/>
            <wp:wrapNone/>
            <wp:docPr id="2" name="Image 2" descr="REG CREST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REG CRES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79F8B275" wp14:editId="79F8B276">
            <wp:simplePos x="0" y="0"/>
            <wp:positionH relativeFrom="page">
              <wp:posOffset>5991225</wp:posOffset>
            </wp:positionH>
            <wp:positionV relativeFrom="paragraph">
              <wp:posOffset>-387320</wp:posOffset>
            </wp:positionV>
            <wp:extent cx="990600" cy="8667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TRANSFER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REASSIGNMENT</w:t>
      </w:r>
      <w:r>
        <w:rPr>
          <w:spacing w:val="-10"/>
        </w:rPr>
        <w:t xml:space="preserve"> </w:t>
      </w:r>
      <w:r>
        <w:t>PROCEDURES</w:t>
      </w:r>
      <w:r>
        <w:rPr>
          <w:spacing w:val="-10"/>
        </w:rPr>
        <w:t xml:space="preserve"> </w:t>
      </w:r>
      <w:r>
        <w:t>FOR VICTIMS OF SEXUAL ASSAULT</w:t>
      </w:r>
    </w:p>
    <w:p w14:paraId="79F8B25D" w14:textId="77777777" w:rsidR="00EA0BB2" w:rsidRDefault="00EA0BB2">
      <w:pPr>
        <w:pStyle w:val="BodyText"/>
        <w:rPr>
          <w:b/>
        </w:rPr>
      </w:pPr>
    </w:p>
    <w:p w14:paraId="79F8B25E" w14:textId="77777777" w:rsidR="00EA0BB2" w:rsidRDefault="00EA0BB2">
      <w:pPr>
        <w:pStyle w:val="BodyText"/>
        <w:spacing w:before="246"/>
        <w:rPr>
          <w:b/>
        </w:rPr>
      </w:pPr>
    </w:p>
    <w:p w14:paraId="79F8B25F" w14:textId="77777777" w:rsidR="00EA0BB2" w:rsidRDefault="00416746">
      <w:pPr>
        <w:pStyle w:val="BodyText"/>
        <w:spacing w:line="276" w:lineRule="auto"/>
        <w:ind w:left="260" w:right="275" w:firstLine="719"/>
      </w:pPr>
      <w:r>
        <w:t>Victims of sexual assault may not wish to remain in their current units or organizations after the sexual assault incident.</w:t>
      </w:r>
      <w:r>
        <w:rPr>
          <w:spacing w:val="40"/>
        </w:rPr>
        <w:t xml:space="preserve"> </w:t>
      </w:r>
      <w:r>
        <w:t xml:space="preserve">Therefore, a victim may request a </w:t>
      </w:r>
      <w:r>
        <w:t>transfer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reassignment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chain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command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victim’s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of sexual assault.</w:t>
      </w:r>
      <w:r>
        <w:rPr>
          <w:spacing w:val="40"/>
        </w:rPr>
        <w:t xml:space="preserve"> </w:t>
      </w:r>
      <w:r>
        <w:t>Victims can expect their commander to render a decision on their request within 72 hours of filing that request.</w:t>
      </w:r>
    </w:p>
    <w:p w14:paraId="79F8B260" w14:textId="77777777" w:rsidR="00EA0BB2" w:rsidRDefault="00EA0BB2">
      <w:pPr>
        <w:pStyle w:val="BodyText"/>
        <w:spacing w:before="40"/>
      </w:pPr>
    </w:p>
    <w:p w14:paraId="79F8B261" w14:textId="77777777" w:rsidR="00EA0BB2" w:rsidRDefault="00416746">
      <w:pPr>
        <w:pStyle w:val="BodyText"/>
        <w:spacing w:line="276" w:lineRule="auto"/>
        <w:ind w:left="260" w:right="334" w:firstLine="719"/>
      </w:pPr>
      <w:proofErr w:type="gramStart"/>
      <w:r>
        <w:t>In order to</w:t>
      </w:r>
      <w:proofErr w:type="gramEnd"/>
      <w:r>
        <w:t xml:space="preserve"> request a transfer, the victim must make an unrestricted report of sexual assault.</w:t>
      </w:r>
      <w:r>
        <w:rPr>
          <w:spacing w:val="40"/>
        </w:rPr>
        <w:t xml:space="preserve"> </w:t>
      </w:r>
      <w:r>
        <w:t>At that time, or soon thereafter, the victim will be informed of his or</w:t>
      </w:r>
      <w:r>
        <w:rPr>
          <w:spacing w:val="-1"/>
        </w:rPr>
        <w:t xml:space="preserve"> </w:t>
      </w:r>
      <w:r>
        <w:t>her option to request a temporary or permanent transfer from their assigned command or base or to a different location within their assigned command or</w:t>
      </w:r>
      <w:r>
        <w:rPr>
          <w:spacing w:val="-1"/>
        </w:rPr>
        <w:t xml:space="preserve"> </w:t>
      </w:r>
      <w:r>
        <w:t>base.</w:t>
      </w:r>
      <w:r>
        <w:rPr>
          <w:spacing w:val="40"/>
        </w:rPr>
        <w:t xml:space="preserve"> </w:t>
      </w:r>
      <w:r>
        <w:t>The victim shall initiate the transfer request and submit the request to their commanding officer, along 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CID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civilian</w:t>
      </w:r>
      <w:r>
        <w:rPr>
          <w:spacing w:val="-1"/>
        </w:rPr>
        <w:t xml:space="preserve"> </w:t>
      </w:r>
      <w:r>
        <w:t>equivalent</w:t>
      </w:r>
      <w:r>
        <w:rPr>
          <w:spacing w:val="-2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explaining</w:t>
      </w:r>
      <w:r>
        <w:rPr>
          <w:spacing w:val="-3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the vic</w:t>
      </w:r>
      <w:r>
        <w:t xml:space="preserve">tim wants to be moved or </w:t>
      </w:r>
      <w:r>
        <w:t xml:space="preserve">deleted from an assignment. Victims are encouraged to include </w:t>
      </w:r>
      <w:proofErr w:type="gramStart"/>
      <w:r>
        <w:t>all of</w:t>
      </w:r>
      <w:proofErr w:type="gramEnd"/>
      <w:r>
        <w:t xml:space="preserve"> their concerns in the written request to aid his or her commander in understanding their needs and in making an informed decision.</w:t>
      </w:r>
    </w:p>
    <w:p w14:paraId="79F8B262" w14:textId="77777777" w:rsidR="00EA0BB2" w:rsidRDefault="00416746">
      <w:pPr>
        <w:pStyle w:val="BodyText"/>
        <w:spacing w:before="200" w:line="276" w:lineRule="auto"/>
        <w:ind w:left="260" w:right="334" w:firstLine="719"/>
      </w:pPr>
      <w:r>
        <w:t>Upon the victim’s request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transfer or reassignment,</w:t>
      </w:r>
      <w:r>
        <w:rPr>
          <w:spacing w:val="-2"/>
        </w:rPr>
        <w:t xml:space="preserve"> </w:t>
      </w:r>
      <w:r>
        <w:t>commanders will inform victims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foreseeable</w:t>
      </w:r>
      <w:r>
        <w:rPr>
          <w:spacing w:val="-3"/>
        </w:rPr>
        <w:t xml:space="preserve"> </w:t>
      </w:r>
      <w:r>
        <w:t>impacts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career,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transfer on the investigation, and potential prosecution or initiation of other adverse action against the alleged offender.</w:t>
      </w:r>
      <w:r>
        <w:rPr>
          <w:spacing w:val="40"/>
        </w:rPr>
        <w:t xml:space="preserve"> </w:t>
      </w:r>
      <w:r>
        <w:t>The commander will also inform the victim of any other possible consequences of granting the request.</w:t>
      </w:r>
      <w:r>
        <w:rPr>
          <w:spacing w:val="40"/>
        </w:rPr>
        <w:t xml:space="preserve"> </w:t>
      </w:r>
      <w:r>
        <w:t>Commanders may also consider transferring the offender instead of the victim.</w:t>
      </w:r>
    </w:p>
    <w:p w14:paraId="79F8B263" w14:textId="77777777" w:rsidR="00EA0BB2" w:rsidRDefault="00416746">
      <w:pPr>
        <w:pStyle w:val="BodyText"/>
        <w:spacing w:before="200" w:line="276" w:lineRule="auto"/>
        <w:ind w:left="260" w:right="334" w:firstLine="787"/>
      </w:pPr>
      <w:r>
        <w:t xml:space="preserve">Requests for transfer or reassignment must be accomplished on a DA Form 4187 signed by the victim </w:t>
      </w:r>
      <w:r>
        <w:t>and endorsed by an O-5 or higher in Block 12. Complete request</w:t>
      </w:r>
      <w:r>
        <w:rPr>
          <w:spacing w:val="-2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MILPER</w:t>
      </w:r>
      <w:r>
        <w:rPr>
          <w:spacing w:val="-5"/>
        </w:rPr>
        <w:t xml:space="preserve"> </w:t>
      </w:r>
      <w:r>
        <w:t>Message</w:t>
      </w:r>
      <w:r>
        <w:rPr>
          <w:spacing w:val="-2"/>
        </w:rPr>
        <w:t xml:space="preserve"> </w:t>
      </w:r>
      <w:r>
        <w:t>14-230,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accessed at </w:t>
      </w:r>
      <w:hyperlink r:id="rId8">
        <w:r w:rsidR="00EA0BB2">
          <w:rPr>
            <w:color w:val="0000FF"/>
            <w:u w:val="single" w:color="0000FF"/>
          </w:rPr>
          <w:t>https://www.hrc.army.mil/Milper/14-230</w:t>
        </w:r>
      </w:hyperlink>
      <w:r>
        <w:t>.</w:t>
      </w:r>
      <w:r>
        <w:rPr>
          <w:spacing w:val="40"/>
        </w:rPr>
        <w:t xml:space="preserve"> </w:t>
      </w:r>
      <w:r>
        <w:t>Sexual assault transfer requests must also meet the following criteria:</w:t>
      </w:r>
    </w:p>
    <w:p w14:paraId="79F8B264" w14:textId="77777777" w:rsidR="00EA0BB2" w:rsidRDefault="00416746">
      <w:pPr>
        <w:pStyle w:val="ListParagraph"/>
        <w:numPr>
          <w:ilvl w:val="0"/>
          <w:numId w:val="1"/>
        </w:numPr>
        <w:tabs>
          <w:tab w:val="left" w:pos="618"/>
        </w:tabs>
        <w:spacing w:before="202"/>
        <w:ind w:left="618" w:hanging="35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assault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taken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permanent</w:t>
      </w:r>
      <w:r>
        <w:rPr>
          <w:spacing w:val="-2"/>
          <w:sz w:val="24"/>
        </w:rPr>
        <w:t xml:space="preserve"> </w:t>
      </w:r>
      <w:r>
        <w:rPr>
          <w:sz w:val="24"/>
        </w:rPr>
        <w:t>duty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station.</w:t>
      </w:r>
    </w:p>
    <w:p w14:paraId="79F8B265" w14:textId="77777777" w:rsidR="00EA0BB2" w:rsidRDefault="00416746">
      <w:pPr>
        <w:pStyle w:val="ListParagraph"/>
        <w:numPr>
          <w:ilvl w:val="0"/>
          <w:numId w:val="1"/>
        </w:numPr>
        <w:tabs>
          <w:tab w:val="left" w:pos="618"/>
        </w:tabs>
        <w:ind w:left="618" w:hanging="358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assault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occurred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request.</w:t>
      </w:r>
    </w:p>
    <w:p w14:paraId="79F8B266" w14:textId="77777777" w:rsidR="00EA0BB2" w:rsidRDefault="00416746">
      <w:pPr>
        <w:pStyle w:val="ListParagraph"/>
        <w:numPr>
          <w:ilvl w:val="0"/>
          <w:numId w:val="1"/>
        </w:numPr>
        <w:tabs>
          <w:tab w:val="left" w:pos="633"/>
        </w:tabs>
        <w:spacing w:before="243"/>
        <w:ind w:left="633" w:hanging="373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victim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flagged (non-</w:t>
      </w:r>
      <w:r>
        <w:rPr>
          <w:spacing w:val="-2"/>
          <w:sz w:val="24"/>
        </w:rPr>
        <w:t>transferable).</w:t>
      </w:r>
    </w:p>
    <w:p w14:paraId="79F8B267" w14:textId="77777777" w:rsidR="00EA0BB2" w:rsidRDefault="00416746">
      <w:pPr>
        <w:pStyle w:val="ListParagraph"/>
        <w:numPr>
          <w:ilvl w:val="0"/>
          <w:numId w:val="1"/>
        </w:numPr>
        <w:tabs>
          <w:tab w:val="left" w:pos="633"/>
        </w:tabs>
        <w:spacing w:line="278" w:lineRule="auto"/>
        <w:ind w:left="260" w:right="1004" w:firstLine="0"/>
        <w:rPr>
          <w:sz w:val="24"/>
        </w:rPr>
      </w:pP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assignment</w:t>
      </w:r>
      <w:r>
        <w:rPr>
          <w:spacing w:val="-4"/>
          <w:sz w:val="24"/>
        </w:rPr>
        <w:t xml:space="preserve"> </w:t>
      </w:r>
      <w:r>
        <w:rPr>
          <w:sz w:val="24"/>
        </w:rPr>
        <w:t>deletion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alleged</w:t>
      </w:r>
      <w:r>
        <w:rPr>
          <w:spacing w:val="-6"/>
          <w:sz w:val="24"/>
        </w:rPr>
        <w:t xml:space="preserve"> </w:t>
      </w:r>
      <w:r>
        <w:rPr>
          <w:sz w:val="24"/>
        </w:rPr>
        <w:t>offender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 gaining location.</w:t>
      </w:r>
    </w:p>
    <w:p w14:paraId="79F8B268" w14:textId="77777777" w:rsidR="00EA0BB2" w:rsidRDefault="00EA0BB2">
      <w:pPr>
        <w:spacing w:line="278" w:lineRule="auto"/>
        <w:rPr>
          <w:sz w:val="24"/>
        </w:rPr>
        <w:sectPr w:rsidR="00EA0B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60" w:right="1140" w:bottom="940" w:left="1180" w:header="0" w:footer="744" w:gutter="0"/>
          <w:pgNumType w:start="1"/>
          <w:cols w:space="720"/>
        </w:sectPr>
      </w:pPr>
    </w:p>
    <w:p w14:paraId="79F8B269" w14:textId="77777777" w:rsidR="00EA0BB2" w:rsidRDefault="00416746">
      <w:pPr>
        <w:pStyle w:val="BodyText"/>
        <w:spacing w:before="78" w:line="276" w:lineRule="auto"/>
        <w:ind w:left="260" w:right="322" w:firstLine="719"/>
      </w:pPr>
      <w:r>
        <w:lastRenderedPageBreak/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victim’s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disapproved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 commander,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 xml:space="preserve">be given the </w:t>
      </w:r>
      <w:r>
        <w:t>opportunity to request review by the first General Officer in the victim’s chain of command.</w:t>
      </w:r>
      <w:r>
        <w:rPr>
          <w:spacing w:val="40"/>
        </w:rPr>
        <w:t xml:space="preserve"> </w:t>
      </w:r>
      <w:r>
        <w:t xml:space="preserve">Disapproval by the General Officer must be made within 72 hours of the victim’s </w:t>
      </w:r>
      <w:proofErr w:type="spellStart"/>
      <w:r>
        <w:t>commmander’s</w:t>
      </w:r>
      <w:proofErr w:type="spellEnd"/>
      <w:r>
        <w:t xml:space="preserve"> recommendation of disapproval.</w:t>
      </w:r>
    </w:p>
    <w:p w14:paraId="79F8B26A" w14:textId="77777777" w:rsidR="00EA0BB2" w:rsidRDefault="00416746">
      <w:pPr>
        <w:pStyle w:val="BodyText"/>
        <w:spacing w:before="199" w:line="276" w:lineRule="auto"/>
        <w:ind w:left="260" w:right="334" w:firstLine="719"/>
      </w:pPr>
      <w:r>
        <w:t xml:space="preserve">For questions concerning these </w:t>
      </w:r>
      <w:r>
        <w:t>procedures, contact Fort Benning’s Sexual Assault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Coordinator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706-566-7393.</w:t>
      </w:r>
      <w:r>
        <w:rPr>
          <w:spacing w:val="-3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 xml:space="preserve">the Army’s policy concerning expedited transfer or reassignment procedures for sexual assault victims can be found in Army Directive 2011-19 or </w:t>
      </w:r>
      <w:hyperlink r:id="rId15">
        <w:r w:rsidR="00EA0BB2">
          <w:rPr>
            <w:color w:val="0000FF"/>
            <w:spacing w:val="-2"/>
            <w:u w:val="single" w:color="0000FF"/>
          </w:rPr>
          <w:t>http://www.apd.army.mil/pdffiles/ad2011_19.pdf</w:t>
        </w:r>
      </w:hyperlink>
      <w:r>
        <w:rPr>
          <w:spacing w:val="-2"/>
        </w:rPr>
        <w:t>.</w:t>
      </w:r>
    </w:p>
    <w:p w14:paraId="79F8B26B" w14:textId="77777777" w:rsidR="00EA0BB2" w:rsidRDefault="00EA0BB2">
      <w:pPr>
        <w:pStyle w:val="BodyText"/>
        <w:rPr>
          <w:sz w:val="20"/>
        </w:rPr>
      </w:pPr>
    </w:p>
    <w:p w14:paraId="79F8B26C" w14:textId="77777777" w:rsidR="00EA0BB2" w:rsidRDefault="00EA0BB2">
      <w:pPr>
        <w:pStyle w:val="BodyText"/>
        <w:rPr>
          <w:sz w:val="20"/>
        </w:rPr>
      </w:pPr>
    </w:p>
    <w:p w14:paraId="79F8B26D" w14:textId="77777777" w:rsidR="00EA0BB2" w:rsidRDefault="00EA0BB2">
      <w:pPr>
        <w:pStyle w:val="BodyText"/>
        <w:rPr>
          <w:sz w:val="20"/>
        </w:rPr>
      </w:pPr>
    </w:p>
    <w:p w14:paraId="79F8B26E" w14:textId="77777777" w:rsidR="00EA0BB2" w:rsidRDefault="00416746">
      <w:pPr>
        <w:pStyle w:val="BodyText"/>
        <w:spacing w:before="26"/>
        <w:rPr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79F8B277" wp14:editId="79F8B278">
            <wp:simplePos x="0" y="0"/>
            <wp:positionH relativeFrom="page">
              <wp:posOffset>3400425</wp:posOffset>
            </wp:positionH>
            <wp:positionV relativeFrom="paragraph">
              <wp:posOffset>178245</wp:posOffset>
            </wp:positionV>
            <wp:extent cx="1000408" cy="875919"/>
            <wp:effectExtent l="0" t="0" r="0" b="0"/>
            <wp:wrapTopAndBottom/>
            <wp:docPr id="4" name="Image 4" descr="REG CREST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REG CRES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408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F8B26F" w14:textId="77777777" w:rsidR="00EA0BB2" w:rsidRDefault="00EA0BB2">
      <w:pPr>
        <w:pStyle w:val="BodyText"/>
        <w:spacing w:before="98"/>
      </w:pPr>
    </w:p>
    <w:p w14:paraId="79F8B270" w14:textId="77777777" w:rsidR="00EA0BB2" w:rsidRDefault="00416746">
      <w:pPr>
        <w:pStyle w:val="BodyText"/>
        <w:spacing w:before="1"/>
        <w:ind w:left="3685" w:right="2632" w:hanging="567"/>
      </w:pP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Judge</w:t>
      </w:r>
      <w:r>
        <w:rPr>
          <w:spacing w:val="-8"/>
        </w:rPr>
        <w:t xml:space="preserve"> </w:t>
      </w:r>
      <w:r>
        <w:t>Advocate Legal Assistance Office</w:t>
      </w:r>
    </w:p>
    <w:p w14:paraId="79F8B271" w14:textId="68751C09" w:rsidR="00EA0BB2" w:rsidRDefault="00416746">
      <w:pPr>
        <w:pStyle w:val="BodyText"/>
        <w:ind w:left="3710" w:right="3593" w:firstLine="249"/>
      </w:pPr>
      <w:r>
        <w:t>6450 Way Avenue Fort</w:t>
      </w:r>
      <w:r>
        <w:rPr>
          <w:spacing w:val="-9"/>
        </w:rPr>
        <w:t xml:space="preserve"> </w:t>
      </w:r>
      <w:r w:rsidR="00353CA9">
        <w:rPr>
          <w:spacing w:val="-9"/>
        </w:rPr>
        <w:t>Benning</w:t>
      </w:r>
      <w:r>
        <w:t>,</w:t>
      </w:r>
      <w:r>
        <w:rPr>
          <w:spacing w:val="-9"/>
        </w:rPr>
        <w:t xml:space="preserve"> </w:t>
      </w:r>
      <w:r>
        <w:t>GA</w:t>
      </w:r>
      <w:r>
        <w:rPr>
          <w:spacing w:val="40"/>
        </w:rPr>
        <w:t xml:space="preserve"> </w:t>
      </w:r>
      <w:r>
        <w:t>31905</w:t>
      </w:r>
    </w:p>
    <w:p w14:paraId="79F8B272" w14:textId="77777777" w:rsidR="00EA0BB2" w:rsidRDefault="00416746">
      <w:pPr>
        <w:pStyle w:val="BodyText"/>
        <w:ind w:left="3892"/>
      </w:pPr>
      <w:r>
        <w:rPr>
          <w:spacing w:val="-2"/>
        </w:rPr>
        <w:t>706-545-3281/3282</w:t>
      </w:r>
    </w:p>
    <w:sectPr w:rsidR="00EA0BB2">
      <w:pgSz w:w="12240" w:h="15840"/>
      <w:pgMar w:top="1360" w:right="1140" w:bottom="940" w:left="118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A144" w14:textId="77777777" w:rsidR="004237F7" w:rsidRDefault="004237F7">
      <w:r>
        <w:separator/>
      </w:r>
    </w:p>
  </w:endnote>
  <w:endnote w:type="continuationSeparator" w:id="0">
    <w:p w14:paraId="188418CD" w14:textId="77777777" w:rsidR="004237F7" w:rsidRDefault="0042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ADCB" w14:textId="77777777" w:rsidR="00416746" w:rsidRDefault="00416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B279" w14:textId="77777777" w:rsidR="00EA0BB2" w:rsidRDefault="004167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9F8B27A" wp14:editId="5A0814B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181100" cy="3619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1100" cy="361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F8B27C" w14:textId="04B8FB62" w:rsidR="00EA0BB2" w:rsidRDefault="0041674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March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353CA9">
                            <w:rPr>
                              <w:spacing w:val="-11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8B2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8pt;margin-top:0;width:93pt;height:28.5pt;z-index:-15762944;visibility:visible;mso-wrap-style:square;mso-width-percent:0;mso-height-percent:0;mso-wrap-distance-left:0;mso-wrap-distance-top:0;mso-wrap-distance-right:0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" filled="f" stroked="f">
              <v:textbox inset="0,0,0,0">
                <w:txbxContent>
                  <w:p w14:paraId="79F8B27C" w14:textId="04B8FB62" w:rsidR="00EA0BB2" w:rsidRDefault="0041674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March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 w:rsidR="00353CA9">
                      <w:rPr>
                        <w:spacing w:val="-11"/>
                        <w:sz w:val="20"/>
                      </w:rPr>
                      <w:t>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F1D2" w14:textId="77777777" w:rsidR="00416746" w:rsidRDefault="00416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7FBC" w14:textId="77777777" w:rsidR="004237F7" w:rsidRDefault="004237F7">
      <w:r>
        <w:separator/>
      </w:r>
    </w:p>
  </w:footnote>
  <w:footnote w:type="continuationSeparator" w:id="0">
    <w:p w14:paraId="4814DF9A" w14:textId="77777777" w:rsidR="004237F7" w:rsidRDefault="00423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A0F3" w14:textId="77777777" w:rsidR="00416746" w:rsidRDefault="00416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1BC6" w14:textId="77777777" w:rsidR="00416746" w:rsidRDefault="004167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7CB6" w14:textId="77777777" w:rsidR="00416746" w:rsidRDefault="00416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E1065"/>
    <w:multiLevelType w:val="hybridMultilevel"/>
    <w:tmpl w:val="3D7881D0"/>
    <w:lvl w:ilvl="0" w:tplc="7A5CC1A0">
      <w:start w:val="1"/>
      <w:numFmt w:val="upperLetter"/>
      <w:lvlText w:val="%1."/>
      <w:lvlJc w:val="left"/>
      <w:pPr>
        <w:ind w:left="6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B65000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2" w:tplc="7EFCF460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C958C81A">
      <w:numFmt w:val="bullet"/>
      <w:lvlText w:val="•"/>
      <w:lvlJc w:val="left"/>
      <w:pPr>
        <w:ind w:left="3410" w:hanging="360"/>
      </w:pPr>
      <w:rPr>
        <w:rFonts w:hint="default"/>
        <w:lang w:val="en-US" w:eastAsia="en-US" w:bidi="ar-SA"/>
      </w:rPr>
    </w:lvl>
    <w:lvl w:ilvl="4" w:tplc="45065752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37681E62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D62C10C8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45428AB8"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  <w:lvl w:ilvl="8" w:tplc="2A96394A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</w:abstractNum>
  <w:num w:numId="1" w16cid:durableId="209331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B2"/>
    <w:rsid w:val="00353CA9"/>
    <w:rsid w:val="00416746"/>
    <w:rsid w:val="004237F7"/>
    <w:rsid w:val="005C0508"/>
    <w:rsid w:val="00791305"/>
    <w:rsid w:val="008056A5"/>
    <w:rsid w:val="00CC080C"/>
    <w:rsid w:val="00EA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8B25A"/>
  <w15:docId w15:val="{9F9AF29C-E7E4-48B0-92B1-07CB8658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073" w:right="1093" w:hanging="122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0"/>
      <w:ind w:left="61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05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6A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056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6A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c.army.mil/Milper/14-23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apd.army.mil/pdffiles/ad2011_19.pdf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Sakal-Gonzalez, Nancy J CIV USA IMCOM</dc:creator>
  <cp:lastModifiedBy>Sakal-Gonzalez, Nancy J CIV USARMY MCOE (USA)</cp:lastModifiedBy>
  <cp:revision>5</cp:revision>
  <dcterms:created xsi:type="dcterms:W3CDTF">2025-03-05T18:11:00Z</dcterms:created>
  <dcterms:modified xsi:type="dcterms:W3CDTF">2025-03-05T18:14:00Z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2015-01-06T00:00:00Z</vt:filetime>
  </property>
  <property fmtid="{D5CDD505-2E9C-101B-9397-08002B2CF9AE}" pid="3" name="LastSaved">
    <vt:filetime>2025-03-05T00:00:00Z</vt:filetime>
  </property>
</Properties>
</file>